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66B99" w14:textId="77777777" w:rsidR="00174D34" w:rsidRDefault="00174D34">
      <w:pPr>
        <w:widowControl w:val="0"/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</w:p>
    <w:p w14:paraId="4650A44E" w14:textId="2494E3CA" w:rsidR="00CC2FE6" w:rsidRDefault="00CC2FE6" w:rsidP="00CC2FE6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POLYCYCLIC AROMATIC HYDROCARBONS</w:t>
      </w:r>
      <w:r w:rsidR="00DD208E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F00EA5">
        <w:rPr>
          <w:rFonts w:ascii="Times New Roman" w:eastAsia="Times New Roman" w:hAnsi="Times New Roman" w:cs="Times New Roman"/>
          <w:color w:val="000000"/>
          <w:szCs w:val="24"/>
        </w:rPr>
        <w:t xml:space="preserve">(PAH) </w:t>
      </w:r>
      <w:r w:rsidR="00DD208E">
        <w:rPr>
          <w:rFonts w:ascii="Times New Roman" w:eastAsia="Times New Roman" w:hAnsi="Times New Roman" w:cs="Times New Roman"/>
          <w:color w:val="000000"/>
          <w:szCs w:val="24"/>
        </w:rPr>
        <w:t>RECORD CONTRIBUTIONS OF TERRIGENOUS ORGANIC MATTER FROM ANGIOSPERMS AND PALAEOFIRES</w:t>
      </w:r>
    </w:p>
    <w:p w14:paraId="6548B113" w14:textId="3D1DD2C3" w:rsidR="00CC2FE6" w:rsidRPr="00784A22" w:rsidRDefault="00CC2FE6" w:rsidP="00CC2FE6">
      <w:pPr>
        <w:spacing w:before="200" w:line="240" w:lineRule="auto"/>
        <w:jc w:val="both"/>
        <w:rPr>
          <w:rFonts w:ascii="Times New Roman" w:hAnsi="Times New Roman" w:cs="Times New Roman"/>
        </w:rPr>
      </w:pPr>
      <w:bookmarkStart w:id="1" w:name="bookmark=id.gjdgxs" w:colFirst="0" w:colLast="0"/>
      <w:bookmarkEnd w:id="1"/>
      <w:r w:rsidRPr="00784A22">
        <w:rPr>
          <w:rFonts w:ascii="Times New Roman" w:hAnsi="Times New Roman" w:cs="Times New Roman"/>
        </w:rPr>
        <w:t>Kelsey Doiron</w:t>
      </w:r>
      <w:r w:rsidRPr="00784A22">
        <w:rPr>
          <w:rFonts w:ascii="Times New Roman" w:hAnsi="Times New Roman" w:cs="Times New Roman"/>
          <w:vertAlign w:val="superscript"/>
        </w:rPr>
        <w:t>1</w:t>
      </w:r>
      <w:r w:rsidRPr="00784A22">
        <w:rPr>
          <w:rFonts w:ascii="Times New Roman" w:hAnsi="Times New Roman" w:cs="Times New Roman"/>
        </w:rPr>
        <w:t>, Simon Brassell</w:t>
      </w:r>
      <w:r w:rsidRPr="00784A22">
        <w:rPr>
          <w:rFonts w:ascii="Times New Roman" w:hAnsi="Times New Roman" w:cs="Times New Roman"/>
          <w:vertAlign w:val="superscript"/>
        </w:rPr>
        <w:t>1</w:t>
      </w:r>
      <w:r w:rsidRPr="00784A22">
        <w:rPr>
          <w:rFonts w:ascii="Times New Roman" w:hAnsi="Times New Roman" w:cs="Times New Roman"/>
        </w:rPr>
        <w:t>, Peter Bijl</w:t>
      </w:r>
      <w:r>
        <w:rPr>
          <w:rFonts w:ascii="Times New Roman" w:hAnsi="Times New Roman" w:cs="Times New Roman"/>
          <w:vertAlign w:val="superscript"/>
        </w:rPr>
        <w:t>2</w:t>
      </w:r>
      <w:r w:rsidRPr="00784A22">
        <w:rPr>
          <w:rFonts w:ascii="Times New Roman" w:hAnsi="Times New Roman" w:cs="Times New Roman"/>
        </w:rPr>
        <w:t>, Thomas Wagner</w:t>
      </w:r>
      <w:r>
        <w:rPr>
          <w:rFonts w:ascii="Times New Roman" w:hAnsi="Times New Roman" w:cs="Times New Roman"/>
          <w:vertAlign w:val="superscript"/>
        </w:rPr>
        <w:t>3</w:t>
      </w:r>
      <w:r w:rsidRPr="00784A22">
        <w:rPr>
          <w:rFonts w:ascii="Times New Roman" w:hAnsi="Times New Roman" w:cs="Times New Roman"/>
        </w:rPr>
        <w:t xml:space="preserve">, Jens </w:t>
      </w:r>
      <w:r w:rsidR="00CC5C75">
        <w:rPr>
          <w:rFonts w:ascii="Times New Roman" w:hAnsi="Times New Roman" w:cs="Times New Roman"/>
        </w:rPr>
        <w:t xml:space="preserve">O. </w:t>
      </w:r>
      <w:r w:rsidRPr="00784A22">
        <w:rPr>
          <w:rFonts w:ascii="Times New Roman" w:hAnsi="Times New Roman" w:cs="Times New Roman"/>
        </w:rPr>
        <w:t>Herrle</w:t>
      </w:r>
      <w:r>
        <w:rPr>
          <w:rFonts w:ascii="Times New Roman" w:hAnsi="Times New Roman" w:cs="Times New Roman"/>
          <w:vertAlign w:val="superscript"/>
        </w:rPr>
        <w:t>4</w:t>
      </w:r>
      <w:r w:rsidRPr="00784A22">
        <w:rPr>
          <w:rFonts w:ascii="Times New Roman" w:hAnsi="Times New Roman" w:cs="Times New Roman"/>
        </w:rPr>
        <w:t>, Gabriele Uenzelmann-Neben</w:t>
      </w:r>
      <w:r>
        <w:rPr>
          <w:rFonts w:ascii="Times New Roman" w:hAnsi="Times New Roman" w:cs="Times New Roman"/>
          <w:vertAlign w:val="superscript"/>
        </w:rPr>
        <w:t>5</w:t>
      </w:r>
      <w:r w:rsidRPr="00784A22">
        <w:rPr>
          <w:rFonts w:ascii="Times New Roman" w:hAnsi="Times New Roman" w:cs="Times New Roman"/>
        </w:rPr>
        <w:t>, Steven Bohaty</w:t>
      </w:r>
      <w:r>
        <w:rPr>
          <w:rFonts w:ascii="Times New Roman" w:hAnsi="Times New Roman" w:cs="Times New Roman"/>
          <w:vertAlign w:val="superscript"/>
        </w:rPr>
        <w:t>6</w:t>
      </w:r>
      <w:r w:rsidRPr="00784A22">
        <w:rPr>
          <w:rFonts w:ascii="Times New Roman" w:hAnsi="Times New Roman" w:cs="Times New Roman"/>
        </w:rPr>
        <w:t>, Laurel Childress</w:t>
      </w:r>
      <w:r>
        <w:rPr>
          <w:rFonts w:ascii="Times New Roman" w:hAnsi="Times New Roman" w:cs="Times New Roman"/>
          <w:vertAlign w:val="superscript"/>
        </w:rPr>
        <w:t>7</w:t>
      </w:r>
      <w:r w:rsidRPr="00784A2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IODP</w:t>
      </w:r>
      <w:r w:rsidRPr="00784A22">
        <w:rPr>
          <w:rFonts w:ascii="Times New Roman" w:hAnsi="Times New Roman" w:cs="Times New Roman"/>
        </w:rPr>
        <w:t xml:space="preserve"> Expedition 392 Science Party </w:t>
      </w:r>
    </w:p>
    <w:p w14:paraId="30BE05E3" w14:textId="5D63D7C6" w:rsidR="00CC2FE6" w:rsidRPr="004E056E" w:rsidRDefault="00CC2FE6" w:rsidP="00CC2FE6">
      <w:pPr>
        <w:pStyle w:val="Normal11ptjustified"/>
        <w:spacing w:before="200" w:line="240" w:lineRule="auto"/>
        <w:rPr>
          <w:rFonts w:ascii="Times New Roman" w:hAnsi="Times New Roman" w:cs="Times New Roman"/>
          <w:sz w:val="24"/>
          <w:szCs w:val="24"/>
        </w:rPr>
      </w:pPr>
      <w:r w:rsidRPr="004E056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E056E">
        <w:rPr>
          <w:rFonts w:ascii="Times New Roman" w:hAnsi="Times New Roman" w:cs="Times New Roman"/>
          <w:sz w:val="24"/>
          <w:szCs w:val="24"/>
        </w:rPr>
        <w:t xml:space="preserve">Indiana University, Bloomington, USA. </w:t>
      </w:r>
      <w:r w:rsidRPr="004E05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Utrecht</w:t>
      </w:r>
      <w:r w:rsidRPr="004E056E">
        <w:rPr>
          <w:rFonts w:ascii="Times New Roman" w:hAnsi="Times New Roman" w:cs="Times New Roman"/>
          <w:sz w:val="24"/>
          <w:szCs w:val="24"/>
        </w:rPr>
        <w:t xml:space="preserve"> University, </w:t>
      </w:r>
      <w:r>
        <w:rPr>
          <w:rFonts w:ascii="Times New Roman" w:hAnsi="Times New Roman" w:cs="Times New Roman"/>
          <w:sz w:val="24"/>
          <w:szCs w:val="24"/>
        </w:rPr>
        <w:t xml:space="preserve">The Netherlands,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Heriot-Watt</w:t>
      </w:r>
      <w:r w:rsidRPr="004E056E">
        <w:rPr>
          <w:rFonts w:ascii="Times New Roman" w:hAnsi="Times New Roman" w:cs="Times New Roman"/>
          <w:sz w:val="24"/>
          <w:szCs w:val="24"/>
        </w:rPr>
        <w:t xml:space="preserve"> University, </w:t>
      </w:r>
      <w:r>
        <w:rPr>
          <w:rFonts w:ascii="Times New Roman" w:hAnsi="Times New Roman" w:cs="Times New Roman"/>
          <w:sz w:val="24"/>
          <w:szCs w:val="24"/>
        </w:rPr>
        <w:t xml:space="preserve">U.K.,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Goethe University, Germany,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Alfred Wegener Institute, Germany, </w:t>
      </w:r>
      <w:r w:rsidR="002843AA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Heidelburg University, Germany,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Texas A&amp;M University, USA</w:t>
      </w:r>
      <w:r w:rsidRPr="004E056E">
        <w:rPr>
          <w:rFonts w:ascii="Times New Roman" w:hAnsi="Times New Roman" w:cs="Times New Roman"/>
          <w:sz w:val="24"/>
          <w:szCs w:val="24"/>
        </w:rPr>
        <w:t>.</w:t>
      </w:r>
    </w:p>
    <w:p w14:paraId="04F4A318" w14:textId="77777777" w:rsidR="00CC2FE6" w:rsidRDefault="00CC2FE6" w:rsidP="00CC2FE6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14:paraId="5ADD5E7B" w14:textId="0EA63420" w:rsidR="00CC2FE6" w:rsidRPr="00D279B2" w:rsidRDefault="00935F6D" w:rsidP="00D279B2">
      <w:pPr>
        <w:spacing w:before="20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Core samples </w:t>
      </w:r>
      <w:r w:rsidR="005B63BB">
        <w:rPr>
          <w:rFonts w:ascii="Times New Roman" w:hAnsi="Times New Roman" w:cs="Times New Roman"/>
          <w:szCs w:val="24"/>
        </w:rPr>
        <w:t xml:space="preserve">recovered </w:t>
      </w:r>
      <w:r w:rsidR="005B63BB" w:rsidRPr="004D48C6">
        <w:rPr>
          <w:rFonts w:ascii="Times New Roman" w:hAnsi="Times New Roman" w:cs="Times New Roman"/>
          <w:szCs w:val="24"/>
        </w:rPr>
        <w:t>from the Transkei Basin (Hole U1581B), offshore South Africa, during IODP Expedition 392</w:t>
      </w:r>
      <w:r w:rsidR="005B63BB">
        <w:rPr>
          <w:rFonts w:ascii="Times New Roman" w:hAnsi="Times New Roman" w:cs="Times New Roman"/>
          <w:szCs w:val="24"/>
        </w:rPr>
        <w:t xml:space="preserve"> include </w:t>
      </w:r>
      <w:r>
        <w:rPr>
          <w:rFonts w:ascii="Times New Roman" w:hAnsi="Times New Roman" w:cs="Times New Roman"/>
          <w:szCs w:val="24"/>
        </w:rPr>
        <w:t xml:space="preserve">an expansive record of </w:t>
      </w:r>
      <w:r w:rsidRPr="004D48C6">
        <w:rPr>
          <w:rFonts w:ascii="Times New Roman" w:hAnsi="Times New Roman" w:cs="Times New Roman"/>
          <w:szCs w:val="24"/>
        </w:rPr>
        <w:t xml:space="preserve">organic-rich sediments </w:t>
      </w:r>
      <w:r>
        <w:rPr>
          <w:rFonts w:ascii="Times New Roman" w:hAnsi="Times New Roman" w:cs="Times New Roman"/>
          <w:szCs w:val="24"/>
        </w:rPr>
        <w:t xml:space="preserve">from the Campanian to Paleocene </w:t>
      </w:r>
      <w:r w:rsidRPr="004D48C6">
        <w:rPr>
          <w:rFonts w:ascii="Times New Roman" w:hAnsi="Times New Roman" w:cs="Times New Roman"/>
          <w:szCs w:val="24"/>
        </w:rPr>
        <w:t>(~63-74 Ma)</w:t>
      </w:r>
      <w:r>
        <w:rPr>
          <w:rFonts w:ascii="Times New Roman" w:hAnsi="Times New Roman" w:cs="Times New Roman"/>
          <w:szCs w:val="24"/>
        </w:rPr>
        <w:t xml:space="preserve">. </w:t>
      </w:r>
      <w:r w:rsidR="003C6634">
        <w:rPr>
          <w:rFonts w:ascii="Times New Roman" w:hAnsi="Times New Roman" w:cs="Times New Roman"/>
          <w:szCs w:val="24"/>
        </w:rPr>
        <w:t>I</w:t>
      </w:r>
      <w:r>
        <w:rPr>
          <w:rFonts w:ascii="Times New Roman" w:hAnsi="Times New Roman" w:cs="Times New Roman"/>
          <w:szCs w:val="24"/>
        </w:rPr>
        <w:t xml:space="preserve">nvestigation of the biomarker composition of </w:t>
      </w:r>
      <w:r w:rsidR="004C05CC">
        <w:rPr>
          <w:rFonts w:ascii="Times New Roman" w:hAnsi="Times New Roman" w:cs="Times New Roman"/>
          <w:szCs w:val="24"/>
        </w:rPr>
        <w:t>this</w:t>
      </w:r>
      <w:r>
        <w:rPr>
          <w:rFonts w:ascii="Times New Roman" w:hAnsi="Times New Roman" w:cs="Times New Roman"/>
          <w:szCs w:val="24"/>
        </w:rPr>
        <w:t xml:space="preserve"> sequence revealed significant amounts of polycyclic aromatic hydrocarbons</w:t>
      </w:r>
      <w:r w:rsidR="00F00EA5">
        <w:rPr>
          <w:rFonts w:ascii="Times New Roman" w:hAnsi="Times New Roman" w:cs="Times New Roman"/>
          <w:szCs w:val="24"/>
        </w:rPr>
        <w:t xml:space="preserve"> (PAH)</w:t>
      </w:r>
      <w:r>
        <w:rPr>
          <w:rFonts w:ascii="Times New Roman" w:hAnsi="Times New Roman" w:cs="Times New Roman"/>
          <w:szCs w:val="24"/>
        </w:rPr>
        <w:t xml:space="preserve"> reflecting </w:t>
      </w:r>
      <w:r w:rsidR="00F70388">
        <w:rPr>
          <w:rFonts w:ascii="Times New Roman" w:hAnsi="Times New Roman" w:cs="Times New Roman"/>
          <w:szCs w:val="24"/>
        </w:rPr>
        <w:t xml:space="preserve">terrestrial </w:t>
      </w:r>
      <w:r w:rsidR="004616C3">
        <w:rPr>
          <w:rFonts w:ascii="Times New Roman" w:hAnsi="Times New Roman" w:cs="Times New Roman"/>
          <w:szCs w:val="24"/>
        </w:rPr>
        <w:t xml:space="preserve">sources </w:t>
      </w:r>
      <w:proofErr w:type="spellStart"/>
      <w:r w:rsidR="004C05CC">
        <w:rPr>
          <w:rFonts w:ascii="Times New Roman" w:hAnsi="Times New Roman" w:cs="Times New Roman"/>
          <w:szCs w:val="24"/>
        </w:rPr>
        <w:t>of</w:t>
      </w:r>
      <w:r w:rsidR="004616C3">
        <w:rPr>
          <w:rFonts w:ascii="Times New Roman" w:hAnsi="Times New Roman" w:cs="Times New Roman"/>
          <w:szCs w:val="24"/>
        </w:rPr>
        <w:t>organic</w:t>
      </w:r>
      <w:proofErr w:type="spellEnd"/>
      <w:r w:rsidR="004616C3">
        <w:rPr>
          <w:rFonts w:ascii="Times New Roman" w:hAnsi="Times New Roman" w:cs="Times New Roman"/>
          <w:szCs w:val="24"/>
        </w:rPr>
        <w:t xml:space="preserve"> matter (OM)</w:t>
      </w:r>
      <w:r w:rsidR="00F70388">
        <w:rPr>
          <w:rFonts w:ascii="Times New Roman" w:hAnsi="Times New Roman" w:cs="Times New Roman"/>
          <w:szCs w:val="24"/>
        </w:rPr>
        <w:t xml:space="preserve">, notably </w:t>
      </w:r>
      <w:r w:rsidR="004616C3">
        <w:rPr>
          <w:rFonts w:ascii="Times New Roman" w:hAnsi="Times New Roman" w:cs="Times New Roman"/>
          <w:szCs w:val="24"/>
        </w:rPr>
        <w:t xml:space="preserve">from </w:t>
      </w:r>
      <w:r w:rsidR="00F70388">
        <w:rPr>
          <w:rFonts w:ascii="Times New Roman" w:hAnsi="Times New Roman" w:cs="Times New Roman"/>
          <w:szCs w:val="24"/>
        </w:rPr>
        <w:t xml:space="preserve">angiosperms, </w:t>
      </w:r>
      <w:r w:rsidR="003C6634">
        <w:rPr>
          <w:rFonts w:ascii="Times New Roman" w:hAnsi="Times New Roman" w:cs="Times New Roman"/>
          <w:szCs w:val="24"/>
        </w:rPr>
        <w:t xml:space="preserve">coupled with evidence for </w:t>
      </w:r>
      <w:proofErr w:type="spellStart"/>
      <w:r w:rsidR="00F70388">
        <w:rPr>
          <w:rFonts w:ascii="Times New Roman" w:hAnsi="Times New Roman" w:cs="Times New Roman"/>
          <w:szCs w:val="24"/>
        </w:rPr>
        <w:t>paleo</w:t>
      </w:r>
      <w:r w:rsidR="003C6634">
        <w:rPr>
          <w:rFonts w:ascii="Times New Roman" w:hAnsi="Times New Roman" w:cs="Times New Roman"/>
          <w:szCs w:val="24"/>
        </w:rPr>
        <w:t>fire</w:t>
      </w:r>
      <w:r w:rsidR="00F70388">
        <w:rPr>
          <w:rFonts w:ascii="Times New Roman" w:hAnsi="Times New Roman" w:cs="Times New Roman"/>
          <w:szCs w:val="24"/>
        </w:rPr>
        <w:t>s</w:t>
      </w:r>
      <w:proofErr w:type="spellEnd"/>
      <w:r w:rsidR="003C6634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="00DD208E">
        <w:rPr>
          <w:rFonts w:ascii="Times New Roman" w:eastAsia="Times New Roman" w:hAnsi="Times New Roman" w:cs="Times New Roman"/>
          <w:color w:val="000000"/>
          <w:szCs w:val="24"/>
        </w:rPr>
        <w:t>Perylene is t</w:t>
      </w:r>
      <w:r w:rsidR="00B2042D" w:rsidRPr="00B2042D">
        <w:rPr>
          <w:rFonts w:ascii="Times New Roman" w:eastAsia="Times New Roman" w:hAnsi="Times New Roman" w:cs="Times New Roman"/>
          <w:color w:val="000000"/>
          <w:szCs w:val="24"/>
        </w:rPr>
        <w:t xml:space="preserve">he dominant PAH in </w:t>
      </w:r>
      <w:r w:rsidR="004C05CC">
        <w:rPr>
          <w:rFonts w:ascii="Times New Roman" w:eastAsia="Times New Roman" w:hAnsi="Times New Roman" w:cs="Times New Roman"/>
          <w:color w:val="000000"/>
          <w:szCs w:val="24"/>
        </w:rPr>
        <w:t>the</w:t>
      </w:r>
      <w:r w:rsidR="00B2042D" w:rsidRPr="00B2042D">
        <w:rPr>
          <w:rFonts w:ascii="Times New Roman" w:eastAsia="Times New Roman" w:hAnsi="Times New Roman" w:cs="Times New Roman"/>
          <w:color w:val="000000"/>
          <w:szCs w:val="24"/>
        </w:rPr>
        <w:t xml:space="preserve"> Campanian </w:t>
      </w:r>
      <w:r w:rsidR="00DD208E">
        <w:rPr>
          <w:rFonts w:ascii="Times New Roman" w:eastAsia="Times New Roman" w:hAnsi="Times New Roman" w:cs="Times New Roman"/>
          <w:color w:val="000000"/>
          <w:szCs w:val="24"/>
        </w:rPr>
        <w:t>sediments</w:t>
      </w:r>
      <w:r w:rsidR="004C05CC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="00B2042D" w:rsidRPr="00B2042D">
        <w:rPr>
          <w:rFonts w:ascii="Times New Roman" w:eastAsia="Times New Roman" w:hAnsi="Times New Roman" w:cs="Times New Roman"/>
          <w:color w:val="000000"/>
          <w:szCs w:val="24"/>
        </w:rPr>
        <w:t>derive</w:t>
      </w:r>
      <w:r w:rsidR="004C05CC">
        <w:rPr>
          <w:rFonts w:ascii="Times New Roman" w:eastAsia="Times New Roman" w:hAnsi="Times New Roman" w:cs="Times New Roman"/>
          <w:color w:val="000000"/>
          <w:szCs w:val="24"/>
        </w:rPr>
        <w:t>d</w:t>
      </w:r>
      <w:r w:rsidR="00B2042D" w:rsidRPr="00B2042D">
        <w:rPr>
          <w:rFonts w:ascii="Times New Roman" w:eastAsia="Times New Roman" w:hAnsi="Times New Roman" w:cs="Times New Roman"/>
          <w:color w:val="000000"/>
          <w:szCs w:val="24"/>
        </w:rPr>
        <w:t xml:space="preserve"> from </w:t>
      </w:r>
      <w:r w:rsidR="00DD208E">
        <w:rPr>
          <w:rFonts w:ascii="Times New Roman" w:eastAsia="Times New Roman" w:hAnsi="Times New Roman" w:cs="Times New Roman"/>
          <w:color w:val="000000"/>
          <w:szCs w:val="24"/>
        </w:rPr>
        <w:t>diagenetic alteration of</w:t>
      </w:r>
      <w:r w:rsidR="00B2042D" w:rsidRPr="00B2042D">
        <w:rPr>
          <w:rFonts w:ascii="Times New Roman" w:eastAsia="Times New Roman" w:hAnsi="Times New Roman" w:cs="Times New Roman"/>
          <w:color w:val="000000"/>
          <w:szCs w:val="24"/>
        </w:rPr>
        <w:t xml:space="preserve"> terrestrial OM. Other prominent PAH components </w:t>
      </w:r>
      <w:r w:rsidR="00DD208E">
        <w:rPr>
          <w:rFonts w:ascii="Times New Roman" w:eastAsia="Times New Roman" w:hAnsi="Times New Roman" w:cs="Times New Roman"/>
          <w:color w:val="000000"/>
          <w:szCs w:val="24"/>
        </w:rPr>
        <w:t>are</w:t>
      </w:r>
      <w:r w:rsidR="00B2042D" w:rsidRPr="00B2042D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="00B2042D" w:rsidRPr="00B2042D">
        <w:rPr>
          <w:rFonts w:ascii="Times New Roman" w:eastAsia="Times New Roman" w:hAnsi="Times New Roman" w:cs="Times New Roman"/>
          <w:color w:val="000000"/>
          <w:szCs w:val="24"/>
        </w:rPr>
        <w:t>tetrahydrochysenes</w:t>
      </w:r>
      <w:proofErr w:type="spellEnd"/>
      <w:r w:rsidR="00B2042D" w:rsidRPr="00B2042D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4616C3">
        <w:rPr>
          <w:rFonts w:ascii="Times New Roman" w:eastAsia="Times New Roman" w:hAnsi="Times New Roman" w:cs="Times New Roman"/>
          <w:color w:val="000000"/>
          <w:szCs w:val="24"/>
        </w:rPr>
        <w:t>and</w:t>
      </w:r>
      <w:r w:rsidR="00B2042D" w:rsidRPr="00B2042D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="00B2042D" w:rsidRPr="00B2042D">
        <w:rPr>
          <w:rFonts w:ascii="Times New Roman" w:eastAsia="Times New Roman" w:hAnsi="Times New Roman" w:cs="Times New Roman"/>
          <w:color w:val="000000"/>
          <w:szCs w:val="24"/>
        </w:rPr>
        <w:t>tetrahydropicenes</w:t>
      </w:r>
      <w:proofErr w:type="spellEnd"/>
      <w:r w:rsidR="0013732B">
        <w:rPr>
          <w:rFonts w:ascii="Times New Roman" w:eastAsia="Times New Roman" w:hAnsi="Times New Roman" w:cs="Times New Roman"/>
          <w:color w:val="000000"/>
          <w:szCs w:val="24"/>
        </w:rPr>
        <w:t xml:space="preserve">, which derive from </w:t>
      </w:r>
      <w:r w:rsidR="00B82B89">
        <w:rPr>
          <w:rFonts w:ascii="Times New Roman" w:eastAsia="Times New Roman" w:hAnsi="Times New Roman" w:cs="Times New Roman"/>
          <w:color w:val="000000"/>
          <w:szCs w:val="24"/>
        </w:rPr>
        <w:t xml:space="preserve">early-stage diagenetic </w:t>
      </w:r>
      <w:r w:rsidR="00A33412">
        <w:rPr>
          <w:rFonts w:ascii="Times New Roman" w:eastAsia="Times New Roman" w:hAnsi="Times New Roman" w:cs="Times New Roman"/>
          <w:color w:val="000000"/>
          <w:szCs w:val="24"/>
        </w:rPr>
        <w:t xml:space="preserve">aromatization ± loss of the </w:t>
      </w:r>
      <w:r w:rsidR="009E1BB6">
        <w:rPr>
          <w:rFonts w:ascii="Times New Roman" w:eastAsia="Times New Roman" w:hAnsi="Times New Roman" w:cs="Times New Roman"/>
          <w:color w:val="000000"/>
          <w:szCs w:val="24"/>
        </w:rPr>
        <w:t xml:space="preserve">functionalized </w:t>
      </w:r>
      <w:r w:rsidR="00A33412">
        <w:rPr>
          <w:rFonts w:ascii="Times New Roman" w:eastAsia="Times New Roman" w:hAnsi="Times New Roman" w:cs="Times New Roman"/>
          <w:color w:val="000000"/>
          <w:szCs w:val="24"/>
        </w:rPr>
        <w:t xml:space="preserve">A-ring of </w:t>
      </w:r>
      <w:r w:rsidR="0013732B">
        <w:rPr>
          <w:rFonts w:ascii="Times New Roman" w:eastAsia="Times New Roman" w:hAnsi="Times New Roman" w:cs="Times New Roman"/>
          <w:color w:val="000000"/>
          <w:szCs w:val="24"/>
        </w:rPr>
        <w:t>triterpenoid precursors</w:t>
      </w:r>
      <w:r w:rsidR="00A33412">
        <w:rPr>
          <w:rFonts w:ascii="Times New Roman" w:eastAsia="Times New Roman" w:hAnsi="Times New Roman" w:cs="Times New Roman"/>
          <w:color w:val="000000"/>
          <w:szCs w:val="24"/>
        </w:rPr>
        <w:t>. T</w:t>
      </w:r>
      <w:r w:rsidR="0013732B">
        <w:rPr>
          <w:rFonts w:ascii="Times New Roman" w:eastAsia="Times New Roman" w:hAnsi="Times New Roman" w:cs="Times New Roman"/>
          <w:color w:val="000000"/>
          <w:szCs w:val="24"/>
        </w:rPr>
        <w:t>he</w:t>
      </w:r>
      <w:r w:rsidR="00D279B2">
        <w:rPr>
          <w:rFonts w:ascii="Times New Roman" w:eastAsia="Times New Roman" w:hAnsi="Times New Roman" w:cs="Times New Roman"/>
          <w:color w:val="000000"/>
          <w:szCs w:val="24"/>
        </w:rPr>
        <w:t>ir</w:t>
      </w:r>
      <w:r w:rsidR="0013732B">
        <w:rPr>
          <w:rFonts w:ascii="Times New Roman" w:eastAsia="Times New Roman" w:hAnsi="Times New Roman" w:cs="Times New Roman"/>
          <w:color w:val="000000"/>
          <w:szCs w:val="24"/>
        </w:rPr>
        <w:t xml:space="preserve"> relative proportions are </w:t>
      </w:r>
      <w:r w:rsidR="00B82B89">
        <w:rPr>
          <w:rFonts w:ascii="Times New Roman" w:eastAsia="Times New Roman" w:hAnsi="Times New Roman" w:cs="Times New Roman"/>
          <w:color w:val="000000"/>
          <w:szCs w:val="24"/>
        </w:rPr>
        <w:t>similar</w:t>
      </w:r>
      <w:r w:rsidR="00F751B6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D279B2">
        <w:rPr>
          <w:rFonts w:ascii="Times New Roman" w:eastAsia="Times New Roman" w:hAnsi="Times New Roman" w:cs="Times New Roman"/>
          <w:color w:val="000000"/>
          <w:szCs w:val="24"/>
        </w:rPr>
        <w:t>throughout</w:t>
      </w:r>
      <w:r w:rsidR="00F751B6">
        <w:rPr>
          <w:rFonts w:ascii="Times New Roman" w:eastAsia="Times New Roman" w:hAnsi="Times New Roman" w:cs="Times New Roman"/>
          <w:color w:val="000000"/>
          <w:szCs w:val="24"/>
        </w:rPr>
        <w:t xml:space="preserve"> the sequence</w:t>
      </w:r>
      <w:r w:rsidR="0013732B">
        <w:rPr>
          <w:rFonts w:ascii="Times New Roman" w:eastAsia="Times New Roman" w:hAnsi="Times New Roman" w:cs="Times New Roman"/>
          <w:color w:val="000000"/>
          <w:szCs w:val="24"/>
        </w:rPr>
        <w:t>, albeit with outliers</w:t>
      </w:r>
      <w:r w:rsidR="00B82B89">
        <w:rPr>
          <w:rFonts w:ascii="Times New Roman" w:eastAsia="Times New Roman" w:hAnsi="Times New Roman" w:cs="Times New Roman"/>
          <w:color w:val="000000"/>
          <w:szCs w:val="24"/>
        </w:rPr>
        <w:t xml:space="preserve">. Thus, </w:t>
      </w:r>
      <w:r w:rsidR="00B82B89" w:rsidRPr="00B2042D">
        <w:rPr>
          <w:rFonts w:ascii="Times New Roman" w:eastAsia="Times New Roman" w:hAnsi="Times New Roman" w:cs="Times New Roman"/>
          <w:color w:val="000000"/>
          <w:szCs w:val="24"/>
        </w:rPr>
        <w:t>angiosperm</w:t>
      </w:r>
      <w:r w:rsidR="00B82B89">
        <w:rPr>
          <w:rFonts w:ascii="Times New Roman" w:eastAsia="Times New Roman" w:hAnsi="Times New Roman" w:cs="Times New Roman"/>
          <w:color w:val="000000"/>
          <w:szCs w:val="24"/>
        </w:rPr>
        <w:t xml:space="preserve">s serving as </w:t>
      </w:r>
      <w:r w:rsidR="004C05CC">
        <w:rPr>
          <w:rFonts w:ascii="Times New Roman" w:eastAsia="Times New Roman" w:hAnsi="Times New Roman" w:cs="Times New Roman"/>
          <w:color w:val="000000"/>
          <w:szCs w:val="24"/>
        </w:rPr>
        <w:t>a consistent</w:t>
      </w:r>
      <w:r w:rsidR="004C05CC" w:rsidRPr="00B2042D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B82B89">
        <w:rPr>
          <w:rFonts w:ascii="Times New Roman" w:eastAsia="Times New Roman" w:hAnsi="Times New Roman" w:cs="Times New Roman"/>
          <w:color w:val="000000"/>
          <w:szCs w:val="24"/>
        </w:rPr>
        <w:t>source of OM</w:t>
      </w:r>
      <w:r w:rsidR="00A33412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55228A">
        <w:rPr>
          <w:rFonts w:ascii="Times New Roman" w:eastAsia="Times New Roman" w:hAnsi="Times New Roman" w:cs="Times New Roman"/>
          <w:color w:val="000000"/>
          <w:szCs w:val="24"/>
        </w:rPr>
        <w:t>through</w:t>
      </w:r>
      <w:r w:rsidR="00B82B89">
        <w:rPr>
          <w:rFonts w:ascii="Times New Roman" w:eastAsia="Times New Roman" w:hAnsi="Times New Roman" w:cs="Times New Roman"/>
          <w:color w:val="000000"/>
          <w:szCs w:val="24"/>
        </w:rPr>
        <w:t>out</w:t>
      </w:r>
      <w:r w:rsidR="0055228A">
        <w:rPr>
          <w:rFonts w:ascii="Times New Roman" w:eastAsia="Times New Roman" w:hAnsi="Times New Roman" w:cs="Times New Roman"/>
          <w:color w:val="000000"/>
          <w:szCs w:val="24"/>
        </w:rPr>
        <w:t xml:space="preserve"> this interval</w:t>
      </w:r>
      <w:r w:rsidR="00B82B89">
        <w:rPr>
          <w:rFonts w:ascii="Times New Roman" w:eastAsia="Times New Roman" w:hAnsi="Times New Roman" w:cs="Times New Roman"/>
          <w:color w:val="000000"/>
          <w:szCs w:val="24"/>
        </w:rPr>
        <w:t xml:space="preserve">, suggesting established contributions from </w:t>
      </w:r>
      <w:r w:rsidR="00B82B89" w:rsidRPr="00B2042D">
        <w:rPr>
          <w:rFonts w:ascii="Times New Roman" w:eastAsia="Times New Roman" w:hAnsi="Times New Roman" w:cs="Times New Roman"/>
          <w:color w:val="000000"/>
          <w:szCs w:val="24"/>
        </w:rPr>
        <w:t xml:space="preserve">these plants </w:t>
      </w:r>
      <w:r w:rsidR="00B82B89">
        <w:rPr>
          <w:rFonts w:ascii="Times New Roman" w:eastAsia="Times New Roman" w:hAnsi="Times New Roman" w:cs="Times New Roman"/>
          <w:color w:val="000000"/>
          <w:szCs w:val="24"/>
        </w:rPr>
        <w:t>following</w:t>
      </w:r>
      <w:r w:rsidR="00B2042D" w:rsidRPr="00B2042D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B82B89">
        <w:rPr>
          <w:rFonts w:ascii="Times New Roman" w:eastAsia="Times New Roman" w:hAnsi="Times New Roman" w:cs="Times New Roman"/>
          <w:color w:val="000000"/>
          <w:szCs w:val="24"/>
        </w:rPr>
        <w:t xml:space="preserve">their </w:t>
      </w:r>
      <w:r w:rsidR="00B2042D" w:rsidRPr="00B2042D">
        <w:rPr>
          <w:rFonts w:ascii="Times New Roman" w:eastAsia="Times New Roman" w:hAnsi="Times New Roman" w:cs="Times New Roman"/>
          <w:color w:val="000000"/>
          <w:szCs w:val="24"/>
        </w:rPr>
        <w:t>expansion during the Late Cretaceous</w:t>
      </w:r>
      <w:r w:rsidR="0055228A">
        <w:rPr>
          <w:rFonts w:ascii="Times New Roman" w:eastAsia="Times New Roman" w:hAnsi="Times New Roman" w:cs="Times New Roman"/>
          <w:color w:val="000000"/>
          <w:szCs w:val="24"/>
        </w:rPr>
        <w:t xml:space="preserve">. </w:t>
      </w:r>
      <w:r w:rsidR="00530CB1">
        <w:rPr>
          <w:rFonts w:ascii="Times New Roman" w:eastAsia="Times New Roman" w:hAnsi="Times New Roman" w:cs="Times New Roman"/>
          <w:color w:val="000000"/>
          <w:szCs w:val="24"/>
        </w:rPr>
        <w:t>Further evidence for inputs of angiosperm-derived</w:t>
      </w:r>
      <w:r w:rsidR="0055228A">
        <w:rPr>
          <w:rFonts w:ascii="Times New Roman" w:eastAsia="Times New Roman" w:hAnsi="Times New Roman" w:cs="Times New Roman"/>
          <w:color w:val="000000"/>
          <w:szCs w:val="24"/>
        </w:rPr>
        <w:t xml:space="preserve"> terrigenous OM </w:t>
      </w:r>
      <w:r w:rsidR="00530CB1">
        <w:rPr>
          <w:rFonts w:ascii="Times New Roman" w:eastAsia="Times New Roman" w:hAnsi="Times New Roman" w:cs="Times New Roman"/>
          <w:color w:val="000000"/>
          <w:szCs w:val="24"/>
        </w:rPr>
        <w:t>is provided</w:t>
      </w:r>
      <w:r w:rsidR="0055228A">
        <w:rPr>
          <w:rFonts w:ascii="Times New Roman" w:eastAsia="Times New Roman" w:hAnsi="Times New Roman" w:cs="Times New Roman"/>
          <w:color w:val="000000"/>
          <w:szCs w:val="24"/>
        </w:rPr>
        <w:t xml:space="preserve"> by the</w:t>
      </w:r>
      <w:r w:rsidR="00186516">
        <w:rPr>
          <w:rFonts w:ascii="Times New Roman" w:eastAsia="Times New Roman" w:hAnsi="Times New Roman" w:cs="Times New Roman"/>
          <w:color w:val="000000"/>
          <w:szCs w:val="24"/>
        </w:rPr>
        <w:t xml:space="preserve"> co-occurrence of </w:t>
      </w:r>
      <w:r w:rsidR="0013732B">
        <w:rPr>
          <w:rFonts w:ascii="Times New Roman" w:eastAsia="Times New Roman" w:hAnsi="Times New Roman" w:cs="Times New Roman"/>
          <w:color w:val="000000"/>
          <w:szCs w:val="24"/>
        </w:rPr>
        <w:t>their precursor</w:t>
      </w:r>
      <w:r w:rsidR="00186516" w:rsidRPr="00B2042D">
        <w:rPr>
          <w:rFonts w:ascii="Times New Roman" w:eastAsia="Times New Roman" w:hAnsi="Times New Roman" w:cs="Times New Roman"/>
          <w:color w:val="000000"/>
          <w:szCs w:val="24"/>
        </w:rPr>
        <w:t xml:space="preserve"> triterpenoid alkenes and ketones</w:t>
      </w:r>
      <w:r w:rsidR="00186516">
        <w:rPr>
          <w:rFonts w:ascii="Times New Roman" w:eastAsia="Times New Roman" w:hAnsi="Times New Roman" w:cs="Times New Roman"/>
          <w:color w:val="000000"/>
          <w:szCs w:val="24"/>
        </w:rPr>
        <w:t>.</w:t>
      </w:r>
      <w:r w:rsidR="0055228A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530CB1">
        <w:rPr>
          <w:rFonts w:ascii="Times New Roman" w:eastAsia="Times New Roman" w:hAnsi="Times New Roman" w:cs="Times New Roman"/>
          <w:color w:val="000000"/>
          <w:szCs w:val="24"/>
        </w:rPr>
        <w:t>The presence of coronene in the sediment</w:t>
      </w:r>
      <w:r w:rsidR="001E5230">
        <w:rPr>
          <w:rFonts w:ascii="Times New Roman" w:eastAsia="Times New Roman" w:hAnsi="Times New Roman" w:cs="Times New Roman"/>
          <w:color w:val="000000"/>
          <w:szCs w:val="24"/>
        </w:rPr>
        <w:t>ary succession</w:t>
      </w:r>
      <w:r w:rsidR="00530CB1">
        <w:rPr>
          <w:rFonts w:ascii="Times New Roman" w:eastAsia="Times New Roman" w:hAnsi="Times New Roman" w:cs="Times New Roman"/>
          <w:color w:val="000000"/>
          <w:szCs w:val="24"/>
        </w:rPr>
        <w:t xml:space="preserve"> indicates that the </w:t>
      </w:r>
      <w:r w:rsidR="001E5230">
        <w:rPr>
          <w:rFonts w:ascii="Times New Roman" w:eastAsia="Times New Roman" w:hAnsi="Times New Roman" w:cs="Times New Roman"/>
          <w:color w:val="000000"/>
          <w:szCs w:val="24"/>
        </w:rPr>
        <w:t>sources</w:t>
      </w:r>
      <w:r w:rsidR="00530CB1">
        <w:rPr>
          <w:rFonts w:ascii="Times New Roman" w:eastAsia="Times New Roman" w:hAnsi="Times New Roman" w:cs="Times New Roman"/>
          <w:color w:val="000000"/>
          <w:szCs w:val="24"/>
        </w:rPr>
        <w:t xml:space="preserve"> of terrestrial OM also include </w:t>
      </w:r>
      <w:r w:rsidR="001E5230">
        <w:rPr>
          <w:rFonts w:ascii="Times New Roman" w:eastAsia="Times New Roman" w:hAnsi="Times New Roman" w:cs="Times New Roman"/>
          <w:color w:val="000000"/>
          <w:szCs w:val="24"/>
        </w:rPr>
        <w:t>pyrogenic material</w:t>
      </w:r>
      <w:r w:rsidR="001E5230" w:rsidRPr="00B2042D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530CB1">
        <w:rPr>
          <w:rFonts w:ascii="Times New Roman" w:eastAsia="Times New Roman" w:hAnsi="Times New Roman" w:cs="Times New Roman"/>
          <w:color w:val="000000"/>
          <w:szCs w:val="24"/>
        </w:rPr>
        <w:t>because this compound</w:t>
      </w:r>
      <w:r w:rsidR="00AB09DE">
        <w:rPr>
          <w:rFonts w:ascii="Times New Roman" w:eastAsia="Times New Roman" w:hAnsi="Times New Roman" w:cs="Times New Roman"/>
          <w:color w:val="000000"/>
          <w:szCs w:val="24"/>
        </w:rPr>
        <w:t>, like other dia</w:t>
      </w:r>
      <w:r w:rsidR="00F751B6">
        <w:rPr>
          <w:rFonts w:ascii="Times New Roman" w:eastAsia="Times New Roman" w:hAnsi="Times New Roman" w:cs="Times New Roman"/>
          <w:color w:val="000000"/>
          <w:szCs w:val="24"/>
        </w:rPr>
        <w:t>g</w:t>
      </w:r>
      <w:r w:rsidR="00AB09DE">
        <w:rPr>
          <w:rFonts w:ascii="Times New Roman" w:eastAsia="Times New Roman" w:hAnsi="Times New Roman" w:cs="Times New Roman"/>
          <w:color w:val="000000"/>
          <w:szCs w:val="24"/>
        </w:rPr>
        <w:t>nostic PAH</w:t>
      </w:r>
      <w:r w:rsidR="00767747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="00530CB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E5230">
        <w:rPr>
          <w:rFonts w:ascii="Times New Roman" w:eastAsia="Times New Roman" w:hAnsi="Times New Roman" w:cs="Times New Roman"/>
          <w:color w:val="000000"/>
          <w:szCs w:val="24"/>
        </w:rPr>
        <w:t xml:space="preserve">is formed during intense combustion and therefore </w:t>
      </w:r>
      <w:r w:rsidR="00530CB1">
        <w:rPr>
          <w:rFonts w:ascii="Times New Roman" w:eastAsia="Times New Roman" w:hAnsi="Times New Roman" w:cs="Times New Roman"/>
          <w:color w:val="000000"/>
          <w:szCs w:val="24"/>
        </w:rPr>
        <w:t xml:space="preserve">serves as </w:t>
      </w:r>
      <w:r w:rsidR="00B2042D" w:rsidRPr="00B2042D">
        <w:rPr>
          <w:rFonts w:ascii="Times New Roman" w:eastAsia="Times New Roman" w:hAnsi="Times New Roman" w:cs="Times New Roman"/>
          <w:color w:val="000000"/>
          <w:szCs w:val="24"/>
        </w:rPr>
        <w:t xml:space="preserve">a sedimentary marker for </w:t>
      </w:r>
      <w:r w:rsidR="001E5230">
        <w:rPr>
          <w:rFonts w:ascii="Times New Roman" w:eastAsia="Times New Roman" w:hAnsi="Times New Roman" w:cs="Times New Roman"/>
          <w:color w:val="000000"/>
          <w:szCs w:val="24"/>
        </w:rPr>
        <w:t>fire</w:t>
      </w:r>
      <w:r w:rsidR="00B2042D" w:rsidRPr="00B2042D">
        <w:rPr>
          <w:rFonts w:ascii="Times New Roman" w:eastAsia="Times New Roman" w:hAnsi="Times New Roman" w:cs="Times New Roman"/>
          <w:color w:val="000000"/>
          <w:szCs w:val="24"/>
        </w:rPr>
        <w:t xml:space="preserve">. </w:t>
      </w:r>
      <w:r w:rsidR="001E5230">
        <w:rPr>
          <w:rFonts w:ascii="Times New Roman" w:eastAsia="Times New Roman" w:hAnsi="Times New Roman" w:cs="Times New Roman"/>
          <w:color w:val="000000"/>
          <w:szCs w:val="24"/>
        </w:rPr>
        <w:t>Coronene occurs</w:t>
      </w:r>
      <w:r w:rsidR="00B2042D" w:rsidRPr="00B2042D">
        <w:rPr>
          <w:rFonts w:ascii="Times New Roman" w:eastAsia="Times New Roman" w:hAnsi="Times New Roman" w:cs="Times New Roman"/>
          <w:color w:val="000000"/>
          <w:szCs w:val="24"/>
        </w:rPr>
        <w:t xml:space="preserve"> as a minor PAH component in Campanian samples</w:t>
      </w:r>
      <w:r w:rsidR="004C05CC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="00D279B2">
        <w:rPr>
          <w:rFonts w:ascii="Times New Roman" w:eastAsia="Times New Roman" w:hAnsi="Times New Roman" w:cs="Times New Roman"/>
          <w:color w:val="000000"/>
          <w:szCs w:val="24"/>
        </w:rPr>
        <w:t xml:space="preserve"> but </w:t>
      </w:r>
      <w:r w:rsidR="001E5230">
        <w:rPr>
          <w:rFonts w:ascii="Times New Roman" w:eastAsia="Times New Roman" w:hAnsi="Times New Roman" w:cs="Times New Roman"/>
          <w:color w:val="000000"/>
          <w:szCs w:val="24"/>
        </w:rPr>
        <w:t xml:space="preserve">it </w:t>
      </w:r>
      <w:r w:rsidR="00B2042D" w:rsidRPr="00B2042D">
        <w:rPr>
          <w:rFonts w:ascii="Times New Roman" w:eastAsia="Times New Roman" w:hAnsi="Times New Roman" w:cs="Times New Roman"/>
          <w:color w:val="000000"/>
          <w:szCs w:val="24"/>
        </w:rPr>
        <w:t xml:space="preserve">is </w:t>
      </w:r>
      <w:r w:rsidR="001E5230">
        <w:rPr>
          <w:rFonts w:ascii="Times New Roman" w:eastAsia="Times New Roman" w:hAnsi="Times New Roman" w:cs="Times New Roman"/>
          <w:color w:val="000000"/>
          <w:szCs w:val="24"/>
        </w:rPr>
        <w:t>a prominent PAH component of</w:t>
      </w:r>
      <w:r w:rsidR="00B2042D" w:rsidRPr="00B2042D">
        <w:rPr>
          <w:rFonts w:ascii="Times New Roman" w:eastAsia="Times New Roman" w:hAnsi="Times New Roman" w:cs="Times New Roman"/>
          <w:color w:val="000000"/>
          <w:szCs w:val="24"/>
        </w:rPr>
        <w:t xml:space="preserve"> the Paleocene samples. </w:t>
      </w:r>
      <w:r w:rsidR="00D279B2">
        <w:rPr>
          <w:rFonts w:ascii="Times New Roman" w:eastAsia="Times New Roman" w:hAnsi="Times New Roman" w:cs="Times New Roman"/>
          <w:color w:val="000000"/>
          <w:szCs w:val="24"/>
        </w:rPr>
        <w:t>C</w:t>
      </w:r>
      <w:r w:rsidR="001E5230">
        <w:rPr>
          <w:rFonts w:ascii="Times New Roman" w:eastAsia="Times New Roman" w:hAnsi="Times New Roman" w:cs="Times New Roman"/>
          <w:color w:val="000000"/>
          <w:szCs w:val="24"/>
        </w:rPr>
        <w:t xml:space="preserve">oronene </w:t>
      </w:r>
      <w:r w:rsidR="00AB09DE">
        <w:rPr>
          <w:rFonts w:ascii="Times New Roman" w:eastAsia="Times New Roman" w:hAnsi="Times New Roman" w:cs="Times New Roman"/>
          <w:color w:val="000000"/>
          <w:szCs w:val="24"/>
        </w:rPr>
        <w:t xml:space="preserve">is </w:t>
      </w:r>
      <w:r w:rsidR="001E5230">
        <w:rPr>
          <w:rFonts w:ascii="Times New Roman" w:eastAsia="Times New Roman" w:hAnsi="Times New Roman" w:cs="Times New Roman"/>
          <w:color w:val="000000"/>
          <w:szCs w:val="24"/>
        </w:rPr>
        <w:t>domina</w:t>
      </w:r>
      <w:r w:rsidR="00AB09DE">
        <w:rPr>
          <w:rFonts w:ascii="Times New Roman" w:eastAsia="Times New Roman" w:hAnsi="Times New Roman" w:cs="Times New Roman"/>
          <w:color w:val="000000"/>
          <w:szCs w:val="24"/>
        </w:rPr>
        <w:t>nt</w:t>
      </w:r>
      <w:r w:rsidR="00D279B2">
        <w:rPr>
          <w:rFonts w:ascii="Times New Roman" w:eastAsia="Times New Roman" w:hAnsi="Times New Roman" w:cs="Times New Roman"/>
          <w:color w:val="000000"/>
          <w:szCs w:val="24"/>
        </w:rPr>
        <w:t xml:space="preserve"> in</w:t>
      </w:r>
      <w:r w:rsidR="00D3202D">
        <w:rPr>
          <w:rFonts w:ascii="Times New Roman" w:eastAsia="Times New Roman" w:hAnsi="Times New Roman" w:cs="Times New Roman"/>
          <w:color w:val="000000"/>
          <w:szCs w:val="24"/>
        </w:rPr>
        <w:t xml:space="preserve"> the basal Paleocene</w:t>
      </w:r>
      <w:r w:rsidR="001E5230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D279B2">
        <w:rPr>
          <w:rFonts w:ascii="Times New Roman" w:eastAsia="Times New Roman" w:hAnsi="Times New Roman" w:cs="Times New Roman"/>
          <w:color w:val="000000"/>
          <w:szCs w:val="24"/>
        </w:rPr>
        <w:t>sample consistent with</w:t>
      </w:r>
      <w:r w:rsidR="00D3202D">
        <w:rPr>
          <w:rFonts w:ascii="Times New Roman" w:eastAsia="Times New Roman" w:hAnsi="Times New Roman" w:cs="Times New Roman"/>
          <w:color w:val="000000"/>
          <w:szCs w:val="24"/>
        </w:rPr>
        <w:t xml:space="preserve"> inputs </w:t>
      </w:r>
      <w:r w:rsidR="00D279B2">
        <w:rPr>
          <w:rFonts w:ascii="Times New Roman" w:eastAsia="Times New Roman" w:hAnsi="Times New Roman" w:cs="Times New Roman"/>
          <w:color w:val="000000"/>
          <w:szCs w:val="24"/>
        </w:rPr>
        <w:t>from</w:t>
      </w:r>
      <w:r w:rsidR="00D3202D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AB09DE">
        <w:rPr>
          <w:rFonts w:ascii="Times New Roman" w:eastAsia="Times New Roman" w:hAnsi="Times New Roman" w:cs="Times New Roman"/>
          <w:color w:val="000000"/>
          <w:szCs w:val="24"/>
        </w:rPr>
        <w:t>global fires</w:t>
      </w:r>
      <w:r w:rsidR="00D3202D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D279B2">
        <w:rPr>
          <w:rFonts w:ascii="Times New Roman" w:eastAsia="Times New Roman" w:hAnsi="Times New Roman" w:cs="Times New Roman"/>
          <w:color w:val="000000"/>
          <w:szCs w:val="24"/>
        </w:rPr>
        <w:t>at</w:t>
      </w:r>
      <w:r w:rsidR="00D3202D">
        <w:rPr>
          <w:rFonts w:ascii="Times New Roman" w:eastAsia="Times New Roman" w:hAnsi="Times New Roman" w:cs="Times New Roman"/>
          <w:color w:val="000000"/>
          <w:szCs w:val="24"/>
        </w:rPr>
        <w:t xml:space="preserve"> the K/Pg boundary</w:t>
      </w:r>
      <w:r w:rsidR="004C05CC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="00AB09DE">
        <w:rPr>
          <w:rFonts w:ascii="Times New Roman" w:eastAsia="Times New Roman" w:hAnsi="Times New Roman" w:cs="Times New Roman"/>
          <w:color w:val="000000"/>
          <w:szCs w:val="24"/>
        </w:rPr>
        <w:t xml:space="preserve">confirming </w:t>
      </w:r>
      <w:r w:rsidR="00D279B2">
        <w:rPr>
          <w:rFonts w:ascii="Times New Roman" w:eastAsia="Times New Roman" w:hAnsi="Times New Roman" w:cs="Times New Roman"/>
          <w:color w:val="000000"/>
          <w:szCs w:val="24"/>
        </w:rPr>
        <w:t>their</w:t>
      </w:r>
      <w:r w:rsidR="00AB09DE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B2042D" w:rsidRPr="00B2042D">
        <w:rPr>
          <w:rFonts w:ascii="Times New Roman" w:eastAsia="Times New Roman" w:hAnsi="Times New Roman" w:cs="Times New Roman"/>
          <w:color w:val="000000"/>
          <w:szCs w:val="24"/>
        </w:rPr>
        <w:t>prevalen</w:t>
      </w:r>
      <w:r w:rsidR="00D279B2">
        <w:rPr>
          <w:rFonts w:ascii="Times New Roman" w:eastAsia="Times New Roman" w:hAnsi="Times New Roman" w:cs="Times New Roman"/>
          <w:color w:val="000000"/>
          <w:szCs w:val="24"/>
        </w:rPr>
        <w:t>ce</w:t>
      </w:r>
      <w:r w:rsidR="00B2042D" w:rsidRPr="00B2042D">
        <w:rPr>
          <w:rFonts w:ascii="Times New Roman" w:eastAsia="Times New Roman" w:hAnsi="Times New Roman" w:cs="Times New Roman"/>
          <w:color w:val="000000"/>
          <w:szCs w:val="24"/>
        </w:rPr>
        <w:t xml:space="preserve"> at high southern latitudes</w:t>
      </w:r>
      <w:r w:rsidR="004C05CC">
        <w:rPr>
          <w:rFonts w:ascii="Times New Roman" w:eastAsia="Times New Roman" w:hAnsi="Times New Roman" w:cs="Times New Roman"/>
          <w:color w:val="000000"/>
          <w:szCs w:val="24"/>
        </w:rPr>
        <w:t>. whereas t</w:t>
      </w:r>
      <w:r w:rsidR="00D3202D">
        <w:rPr>
          <w:rFonts w:ascii="Times New Roman" w:eastAsia="Times New Roman" w:hAnsi="Times New Roman" w:cs="Times New Roman"/>
          <w:color w:val="000000"/>
          <w:szCs w:val="24"/>
        </w:rPr>
        <w:t xml:space="preserve">he lower proportion of perylene </w:t>
      </w:r>
      <w:r w:rsidR="00AB09DE">
        <w:rPr>
          <w:rFonts w:ascii="Times New Roman" w:eastAsia="Times New Roman" w:hAnsi="Times New Roman" w:cs="Times New Roman"/>
          <w:color w:val="000000"/>
          <w:szCs w:val="24"/>
        </w:rPr>
        <w:t xml:space="preserve">in </w:t>
      </w:r>
      <w:r w:rsidR="00D279B2">
        <w:rPr>
          <w:rFonts w:ascii="Times New Roman" w:eastAsia="Times New Roman" w:hAnsi="Times New Roman" w:cs="Times New Roman"/>
          <w:color w:val="000000"/>
          <w:szCs w:val="24"/>
        </w:rPr>
        <w:t>this interval</w:t>
      </w:r>
      <w:r w:rsidR="00AB09DE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D3202D">
        <w:rPr>
          <w:rFonts w:ascii="Times New Roman" w:eastAsia="Times New Roman" w:hAnsi="Times New Roman" w:cs="Times New Roman"/>
          <w:color w:val="000000"/>
          <w:szCs w:val="24"/>
        </w:rPr>
        <w:t>may reflect a d</w:t>
      </w:r>
      <w:r w:rsidR="00D279B2">
        <w:rPr>
          <w:rFonts w:ascii="Times New Roman" w:eastAsia="Times New Roman" w:hAnsi="Times New Roman" w:cs="Times New Roman"/>
          <w:color w:val="000000"/>
          <w:szCs w:val="24"/>
        </w:rPr>
        <w:t>iminishe</w:t>
      </w:r>
      <w:r w:rsidR="00AB09DE">
        <w:rPr>
          <w:rFonts w:ascii="Times New Roman" w:eastAsia="Times New Roman" w:hAnsi="Times New Roman" w:cs="Times New Roman"/>
          <w:color w:val="000000"/>
          <w:szCs w:val="24"/>
        </w:rPr>
        <w:t>d</w:t>
      </w:r>
      <w:r w:rsidR="00D3202D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AB09DE">
        <w:rPr>
          <w:rFonts w:ascii="Times New Roman" w:eastAsia="Times New Roman" w:hAnsi="Times New Roman" w:cs="Times New Roman"/>
          <w:color w:val="000000"/>
          <w:szCs w:val="24"/>
        </w:rPr>
        <w:t xml:space="preserve">supply of unburnt lignin precursors. </w:t>
      </w:r>
      <w:r w:rsidR="00D3202D">
        <w:rPr>
          <w:rFonts w:ascii="Times New Roman" w:eastAsia="Times New Roman" w:hAnsi="Times New Roman" w:cs="Times New Roman"/>
          <w:color w:val="000000"/>
          <w:szCs w:val="24"/>
        </w:rPr>
        <w:t>Coronene remains a substantive component</w:t>
      </w:r>
      <w:r w:rsidR="00AB09DE">
        <w:rPr>
          <w:rFonts w:ascii="Times New Roman" w:eastAsia="Times New Roman" w:hAnsi="Times New Roman" w:cs="Times New Roman"/>
          <w:color w:val="000000"/>
          <w:szCs w:val="24"/>
        </w:rPr>
        <w:t xml:space="preserve"> in </w:t>
      </w:r>
      <w:r w:rsidR="00D279B2">
        <w:rPr>
          <w:rFonts w:ascii="Times New Roman" w:eastAsia="Times New Roman" w:hAnsi="Times New Roman" w:cs="Times New Roman"/>
          <w:color w:val="000000"/>
          <w:szCs w:val="24"/>
        </w:rPr>
        <w:t>later Paleocene samples</w:t>
      </w:r>
      <w:r w:rsidR="004C05CC">
        <w:rPr>
          <w:rFonts w:ascii="Times New Roman" w:eastAsia="Times New Roman" w:hAnsi="Times New Roman" w:cs="Times New Roman"/>
          <w:color w:val="000000"/>
          <w:szCs w:val="24"/>
        </w:rPr>
        <w:t xml:space="preserve"> likely</w:t>
      </w:r>
      <w:r w:rsidR="00AB09DE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F751B6">
        <w:rPr>
          <w:rFonts w:ascii="Times New Roman" w:eastAsia="Times New Roman" w:hAnsi="Times New Roman" w:cs="Times New Roman"/>
          <w:color w:val="000000"/>
          <w:szCs w:val="24"/>
        </w:rPr>
        <w:t>reflect</w:t>
      </w:r>
      <w:r w:rsidR="004C05CC">
        <w:rPr>
          <w:rFonts w:ascii="Times New Roman" w:eastAsia="Times New Roman" w:hAnsi="Times New Roman" w:cs="Times New Roman"/>
          <w:color w:val="000000"/>
          <w:szCs w:val="24"/>
        </w:rPr>
        <w:t>ing</w:t>
      </w:r>
      <w:r w:rsidR="00F751B6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6A418A">
        <w:rPr>
          <w:rFonts w:ascii="Times New Roman" w:eastAsia="Times New Roman" w:hAnsi="Times New Roman" w:cs="Times New Roman"/>
          <w:color w:val="000000"/>
          <w:szCs w:val="24"/>
        </w:rPr>
        <w:t>the protracted occurrence of wildfires. In addition, the supply of PAH generated during the K-Pg boundary event may provide a sustained influx of terrigenous OM derived from erosion and weathering of burnt biomass, which is</w:t>
      </w:r>
      <w:r w:rsidR="00F751B6">
        <w:rPr>
          <w:rFonts w:ascii="Times New Roman" w:eastAsia="Times New Roman" w:hAnsi="Times New Roman" w:cs="Times New Roman"/>
          <w:color w:val="000000"/>
          <w:szCs w:val="24"/>
        </w:rPr>
        <w:t xml:space="preserve"> consistent with </w:t>
      </w:r>
      <w:r w:rsidR="006A418A">
        <w:rPr>
          <w:rFonts w:ascii="Times New Roman" w:eastAsia="Times New Roman" w:hAnsi="Times New Roman" w:cs="Times New Roman"/>
          <w:color w:val="000000"/>
          <w:szCs w:val="24"/>
        </w:rPr>
        <w:t xml:space="preserve">evidence </w:t>
      </w:r>
      <w:r w:rsidR="00F751B6">
        <w:rPr>
          <w:rFonts w:ascii="Times New Roman" w:eastAsia="Times New Roman" w:hAnsi="Times New Roman" w:cs="Times New Roman"/>
          <w:color w:val="000000"/>
          <w:szCs w:val="24"/>
        </w:rPr>
        <w:t xml:space="preserve">that </w:t>
      </w:r>
      <w:r w:rsidR="00D279B2">
        <w:rPr>
          <w:rFonts w:ascii="Times New Roman" w:eastAsia="Times New Roman" w:hAnsi="Times New Roman" w:cs="Times New Roman"/>
          <w:color w:val="000000"/>
          <w:szCs w:val="24"/>
        </w:rPr>
        <w:t>larger</w:t>
      </w:r>
      <w:r w:rsidR="00F751B6">
        <w:rPr>
          <w:rFonts w:ascii="Times New Roman" w:eastAsia="Times New Roman" w:hAnsi="Times New Roman" w:cs="Times New Roman"/>
          <w:color w:val="000000"/>
          <w:szCs w:val="24"/>
        </w:rPr>
        <w:t xml:space="preserve"> PAH are </w:t>
      </w:r>
      <w:r w:rsidR="006A418A">
        <w:rPr>
          <w:rFonts w:ascii="Times New Roman" w:eastAsia="Times New Roman" w:hAnsi="Times New Roman" w:cs="Times New Roman"/>
          <w:color w:val="000000"/>
          <w:szCs w:val="24"/>
        </w:rPr>
        <w:t xml:space="preserve">primarily transported </w:t>
      </w:r>
      <w:r w:rsidR="00D279B2">
        <w:rPr>
          <w:rFonts w:ascii="Times New Roman" w:eastAsia="Times New Roman" w:hAnsi="Times New Roman" w:cs="Times New Roman"/>
          <w:color w:val="000000"/>
          <w:szCs w:val="24"/>
        </w:rPr>
        <w:t>by</w:t>
      </w:r>
      <w:r w:rsidR="006A418A">
        <w:rPr>
          <w:rFonts w:ascii="Times New Roman" w:eastAsia="Times New Roman" w:hAnsi="Times New Roman" w:cs="Times New Roman"/>
          <w:color w:val="000000"/>
          <w:szCs w:val="24"/>
        </w:rPr>
        <w:t xml:space="preserve"> clastic detritus </w:t>
      </w:r>
      <w:r w:rsidR="00F751B6">
        <w:rPr>
          <w:rFonts w:ascii="Times New Roman" w:eastAsia="Times New Roman" w:hAnsi="Times New Roman" w:cs="Times New Roman"/>
          <w:color w:val="000000"/>
          <w:szCs w:val="24"/>
        </w:rPr>
        <w:t>rather than airborne</w:t>
      </w:r>
      <w:bookmarkStart w:id="2" w:name="bookmark=id.3znysh7" w:colFirst="0" w:colLast="0"/>
      <w:bookmarkEnd w:id="2"/>
      <w:r w:rsidR="006A418A">
        <w:rPr>
          <w:rFonts w:ascii="Times New Roman" w:eastAsia="Times New Roman" w:hAnsi="Times New Roman" w:cs="Times New Roman"/>
          <w:color w:val="000000"/>
          <w:szCs w:val="24"/>
        </w:rPr>
        <w:t xml:space="preserve"> particulates.</w:t>
      </w:r>
    </w:p>
    <w:p w14:paraId="24DD4426" w14:textId="578C1B01" w:rsidR="00967E2E" w:rsidRDefault="00967E2E" w:rsidP="002460E4">
      <w:pPr>
        <w:spacing w:line="240" w:lineRule="auto"/>
        <w:jc w:val="both"/>
        <w:rPr>
          <w:rFonts w:ascii="Times New Roman" w:hAnsi="Times New Roman" w:cs="Times New Roman"/>
          <w:sz w:val="22"/>
          <w:lang w:eastAsia="en-GB"/>
        </w:rPr>
      </w:pPr>
      <w:bookmarkStart w:id="3" w:name="bookmark=id.3dy6vkm" w:colFirst="0" w:colLast="0"/>
      <w:bookmarkStart w:id="4" w:name="_heading=h.tyjcwt" w:colFirst="0" w:colLast="0"/>
      <w:bookmarkEnd w:id="3"/>
      <w:bookmarkEnd w:id="4"/>
    </w:p>
    <w:sectPr w:rsidR="00967E2E" w:rsidSect="00077F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288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BC288" w14:textId="77777777" w:rsidR="00C07181" w:rsidRDefault="00C07181">
      <w:pPr>
        <w:spacing w:line="240" w:lineRule="auto"/>
      </w:pPr>
      <w:r>
        <w:separator/>
      </w:r>
    </w:p>
  </w:endnote>
  <w:endnote w:type="continuationSeparator" w:id="0">
    <w:p w14:paraId="066EF600" w14:textId="77777777" w:rsidR="00C07181" w:rsidRDefault="00C071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CD390" w14:textId="77777777" w:rsidR="00174D34" w:rsidRDefault="00174D34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jc w:val="right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F2B04" w14:textId="2BADDD5F" w:rsidR="00174D34" w:rsidRDefault="00174D34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C1A38" w14:textId="77777777" w:rsidR="00C07181" w:rsidRDefault="00C07181">
      <w:pPr>
        <w:spacing w:line="240" w:lineRule="auto"/>
      </w:pPr>
      <w:r>
        <w:separator/>
      </w:r>
    </w:p>
  </w:footnote>
  <w:footnote w:type="continuationSeparator" w:id="0">
    <w:p w14:paraId="7B1EE278" w14:textId="77777777" w:rsidR="00C07181" w:rsidRDefault="00C071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B61A5" w14:textId="77777777" w:rsidR="00174D34" w:rsidRDefault="00174D34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jc w:val="right"/>
      <w:rPr>
        <w:rFonts w:ascii="Times New Roman" w:eastAsia="Times New Roman" w:hAnsi="Times New Roman" w:cs="Times New Roman"/>
        <w:color w:val="000000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8D7BE" w14:textId="49DC8382" w:rsidR="00174D34" w:rsidRDefault="00174D34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rPr>
        <w:rFonts w:ascii="Calibri" w:eastAsia="Calibri" w:hAnsi="Calibri" w:cs="Calibri"/>
        <w:color w:val="000000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FDD49" w14:textId="77777777" w:rsidR="00174D34" w:rsidRDefault="00BA4FD6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703"/>
        <w:tab w:val="right" w:pos="9406"/>
      </w:tabs>
      <w:spacing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51E3D"/>
    <w:multiLevelType w:val="multilevel"/>
    <w:tmpl w:val="E8269F66"/>
    <w:styleLink w:val="CurrentList1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1E7DF1"/>
    <w:multiLevelType w:val="multilevel"/>
    <w:tmpl w:val="DA4E9678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563567"/>
    <w:multiLevelType w:val="multilevel"/>
    <w:tmpl w:val="E8269F66"/>
    <w:lvl w:ilvl="0">
      <w:start w:val="1"/>
      <w:numFmt w:val="bullet"/>
      <w:pStyle w:val="List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D34"/>
    <w:rsid w:val="00077F76"/>
    <w:rsid w:val="00087598"/>
    <w:rsid w:val="000D4DF0"/>
    <w:rsid w:val="00130119"/>
    <w:rsid w:val="0013732B"/>
    <w:rsid w:val="00164641"/>
    <w:rsid w:val="00174D34"/>
    <w:rsid w:val="00186516"/>
    <w:rsid w:val="00193FB8"/>
    <w:rsid w:val="00197DE3"/>
    <w:rsid w:val="001E5230"/>
    <w:rsid w:val="001F598A"/>
    <w:rsid w:val="002146BD"/>
    <w:rsid w:val="002460E4"/>
    <w:rsid w:val="002843AA"/>
    <w:rsid w:val="002D0244"/>
    <w:rsid w:val="003C6634"/>
    <w:rsid w:val="0043293B"/>
    <w:rsid w:val="00460FBF"/>
    <w:rsid w:val="004616C3"/>
    <w:rsid w:val="004C05CC"/>
    <w:rsid w:val="004F1A54"/>
    <w:rsid w:val="00530CB1"/>
    <w:rsid w:val="0055228A"/>
    <w:rsid w:val="005760B4"/>
    <w:rsid w:val="005912C8"/>
    <w:rsid w:val="005B63BB"/>
    <w:rsid w:val="005D12BA"/>
    <w:rsid w:val="00606460"/>
    <w:rsid w:val="00667BF6"/>
    <w:rsid w:val="00697030"/>
    <w:rsid w:val="006A418A"/>
    <w:rsid w:val="006B0997"/>
    <w:rsid w:val="006E456D"/>
    <w:rsid w:val="00733AC3"/>
    <w:rsid w:val="00767747"/>
    <w:rsid w:val="007F0AB1"/>
    <w:rsid w:val="008F1133"/>
    <w:rsid w:val="00906592"/>
    <w:rsid w:val="00935F6D"/>
    <w:rsid w:val="00967E2E"/>
    <w:rsid w:val="009E0571"/>
    <w:rsid w:val="009E1BB6"/>
    <w:rsid w:val="00A33412"/>
    <w:rsid w:val="00AB09DE"/>
    <w:rsid w:val="00AC53FF"/>
    <w:rsid w:val="00B2042D"/>
    <w:rsid w:val="00B425CC"/>
    <w:rsid w:val="00B82B89"/>
    <w:rsid w:val="00B85540"/>
    <w:rsid w:val="00BA4FD6"/>
    <w:rsid w:val="00C07181"/>
    <w:rsid w:val="00C67BB4"/>
    <w:rsid w:val="00CC2FE6"/>
    <w:rsid w:val="00CC5C75"/>
    <w:rsid w:val="00D21937"/>
    <w:rsid w:val="00D279B2"/>
    <w:rsid w:val="00D3202D"/>
    <w:rsid w:val="00DD208E"/>
    <w:rsid w:val="00E325EE"/>
    <w:rsid w:val="00E925C1"/>
    <w:rsid w:val="00EC671A"/>
    <w:rsid w:val="00EE3D00"/>
    <w:rsid w:val="00F00EA5"/>
    <w:rsid w:val="00F70388"/>
    <w:rsid w:val="00F7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124F"/>
  <w15:docId w15:val="{00DF1CB8-BA90-B641-9E41-51FE4E49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framePr w:w="9356" w:h="3306" w:hSpace="142" w:vSpace="284" w:wrap="notBeside" w:vAnchor="text" w:hAnchor="page" w:x="1146" w:y="-112"/>
      <w:spacing w:before="60"/>
      <w:jc w:val="right"/>
      <w:outlineLvl w:val="1"/>
    </w:pPr>
    <w:rPr>
      <w:i/>
      <w:sz w:val="1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  <w:outlineLvl w:val="0"/>
    </w:pPr>
    <w:rPr>
      <w:b/>
      <w:kern w:val="28"/>
      <w:sz w:val="32"/>
    </w:rPr>
  </w:style>
  <w:style w:type="character" w:styleId="PageNumber">
    <w:name w:val="page number"/>
    <w:basedOn w:val="DefaultParagraphFont"/>
  </w:style>
  <w:style w:type="paragraph" w:customStyle="1" w:styleId="Title1">
    <w:name w:val="Title1"/>
    <w:basedOn w:val="Normal"/>
    <w:pPr>
      <w:framePr w:w="9356" w:h="3306" w:hSpace="142" w:vSpace="284" w:wrap="notBeside" w:vAnchor="text" w:hAnchor="page" w:x="1146" w:y="-112"/>
      <w:spacing w:before="60"/>
    </w:pPr>
    <w:rPr>
      <w:b/>
      <w:sz w:val="36"/>
    </w:rPr>
  </w:style>
  <w:style w:type="paragraph" w:customStyle="1" w:styleId="AUTHOR">
    <w:name w:val="AUTHOR"/>
    <w:basedOn w:val="Normal"/>
    <w:pPr>
      <w:framePr w:w="9356" w:h="3306" w:hSpace="142" w:vSpace="284" w:wrap="notBeside" w:vAnchor="text" w:hAnchor="page" w:x="1146" w:y="-112"/>
      <w:spacing w:before="60"/>
      <w:jc w:val="right"/>
    </w:pPr>
    <w:rPr>
      <w:caps/>
      <w:sz w:val="16"/>
    </w:rPr>
  </w:style>
  <w:style w:type="paragraph" w:customStyle="1" w:styleId="Header1">
    <w:name w:val="Header1"/>
    <w:basedOn w:val="Normal"/>
    <w:pPr>
      <w:pBdr>
        <w:bottom w:val="single" w:sz="6" w:space="1" w:color="auto"/>
      </w:pBdr>
      <w:tabs>
        <w:tab w:val="right" w:pos="8789"/>
      </w:tabs>
    </w:pPr>
    <w:rPr>
      <w:sz w:val="20"/>
    </w:rPr>
  </w:style>
  <w:style w:type="paragraph" w:styleId="Header">
    <w:name w:val="header"/>
    <w:basedOn w:val="Normal"/>
    <w:pPr>
      <w:tabs>
        <w:tab w:val="center" w:pos="4703"/>
        <w:tab w:val="right" w:pos="9406"/>
      </w:tabs>
      <w:jc w:val="center"/>
    </w:pPr>
    <w:rPr>
      <w:sz w:val="20"/>
      <w:lang w:val="en-GB"/>
    </w:r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paragraph" w:customStyle="1" w:styleId="ParagraphNorm">
    <w:name w:val="ParagraphNorm"/>
    <w:basedOn w:val="Normal"/>
    <w:pPr>
      <w:spacing w:before="120"/>
      <w:jc w:val="both"/>
    </w:pPr>
  </w:style>
  <w:style w:type="paragraph" w:customStyle="1" w:styleId="ParaList">
    <w:name w:val="ParaList"/>
    <w:basedOn w:val="ParagraphNorm"/>
    <w:pPr>
      <w:tabs>
        <w:tab w:val="left" w:pos="567"/>
      </w:tabs>
      <w:ind w:left="851" w:hanging="284"/>
    </w:pPr>
  </w:style>
  <w:style w:type="paragraph" w:styleId="Caption">
    <w:name w:val="caption"/>
    <w:basedOn w:val="Normal"/>
    <w:next w:val="Normal"/>
    <w:qFormat/>
    <w:pPr>
      <w:framePr w:w="9663" w:h="3304" w:hSpace="142" w:vSpace="284" w:wrap="notBeside" w:vAnchor="text" w:hAnchor="page" w:x="1146" w:y="-112"/>
      <w:tabs>
        <w:tab w:val="right" w:pos="8505"/>
      </w:tabs>
    </w:pPr>
    <w:rPr>
      <w:b/>
      <w:sz w:val="36"/>
    </w:rPr>
  </w:style>
  <w:style w:type="paragraph" w:customStyle="1" w:styleId="Heading10">
    <w:name w:val="Heading1"/>
    <w:basedOn w:val="ParagraphNorm"/>
    <w:pPr>
      <w:spacing w:before="240" w:after="120"/>
      <w:jc w:val="left"/>
    </w:pPr>
    <w:rPr>
      <w:b/>
    </w:rPr>
  </w:style>
  <w:style w:type="paragraph" w:customStyle="1" w:styleId="Heading20">
    <w:name w:val="Heading2"/>
    <w:basedOn w:val="ParagraphNorm"/>
    <w:pPr>
      <w:spacing w:after="120"/>
      <w:jc w:val="left"/>
    </w:pPr>
    <w:rPr>
      <w:i/>
    </w:rPr>
  </w:style>
  <w:style w:type="paragraph" w:customStyle="1" w:styleId="Symbol">
    <w:name w:val="Symbol"/>
    <w:basedOn w:val="ParagraphNorm"/>
    <w:pPr>
      <w:tabs>
        <w:tab w:val="left" w:pos="851"/>
      </w:tabs>
      <w:spacing w:before="0"/>
      <w:jc w:val="left"/>
    </w:pPr>
  </w:style>
  <w:style w:type="paragraph" w:customStyle="1" w:styleId="Equation">
    <w:name w:val="Equation"/>
    <w:basedOn w:val="ParagraphNorm"/>
    <w:pPr>
      <w:jc w:val="right"/>
    </w:pPr>
  </w:style>
  <w:style w:type="paragraph" w:customStyle="1" w:styleId="References">
    <w:name w:val="References"/>
    <w:basedOn w:val="ParaList"/>
    <w:pPr>
      <w:ind w:left="567" w:hanging="567"/>
    </w:pPr>
  </w:style>
  <w:style w:type="paragraph" w:customStyle="1" w:styleId="TableLegend">
    <w:name w:val="TableLegend"/>
    <w:basedOn w:val="ParagraphNorm"/>
    <w:pPr>
      <w:spacing w:after="120"/>
      <w:jc w:val="center"/>
    </w:pPr>
  </w:style>
  <w:style w:type="paragraph" w:customStyle="1" w:styleId="FigLegend">
    <w:name w:val="FigLegend"/>
    <w:basedOn w:val="ParagraphNorm"/>
    <w:pPr>
      <w:spacing w:after="120"/>
      <w:jc w:val="center"/>
    </w:pPr>
  </w:style>
  <w:style w:type="paragraph" w:customStyle="1" w:styleId="Acknowledgment">
    <w:name w:val="Acknowledgment"/>
    <w:basedOn w:val="Heading20"/>
    <w:pPr>
      <w:jc w:val="both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lutation">
    <w:name w:val="Salutation"/>
    <w:basedOn w:val="Normal"/>
    <w:next w:val="Normal"/>
  </w:style>
  <w:style w:type="paragraph" w:styleId="EnvelopeAddress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Closing">
    <w:name w:val="Closing"/>
    <w:basedOn w:val="Normal"/>
    <w:pPr>
      <w:ind w:left="4252"/>
    </w:pPr>
  </w:style>
  <w:style w:type="paragraph" w:styleId="EnvelopeReturn">
    <w:name w:val="envelope return"/>
    <w:basedOn w:val="Normal"/>
    <w:rPr>
      <w:sz w:val="20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Date">
    <w:name w:val="Date"/>
    <w:basedOn w:val="Normal"/>
    <w:next w:val="Normal"/>
  </w:style>
  <w:style w:type="paragraph" w:styleId="EndnoteText">
    <w:name w:val="endnote text"/>
    <w:basedOn w:val="Normal"/>
    <w:semiHidden/>
    <w:rPr>
      <w:sz w:val="20"/>
    </w:rPr>
  </w:style>
  <w:style w:type="paragraph" w:styleId="Signature">
    <w:name w:val="Signature"/>
    <w:basedOn w:val="Normal"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tabs>
        <w:tab w:val="num" w:pos="720"/>
      </w:tabs>
      <w:ind w:left="720" w:hanging="720"/>
    </w:pPr>
  </w:style>
  <w:style w:type="paragraph" w:styleId="ListBullet4">
    <w:name w:val="List Bullet 4"/>
    <w:basedOn w:val="Normal"/>
    <w:autoRedefine/>
    <w:pPr>
      <w:tabs>
        <w:tab w:val="num" w:pos="720"/>
      </w:tabs>
      <w:ind w:left="720" w:hanging="720"/>
    </w:pPr>
  </w:style>
  <w:style w:type="paragraph" w:styleId="ListBullet5">
    <w:name w:val="List Bullet 5"/>
    <w:basedOn w:val="Normal"/>
    <w:autoRedefine/>
    <w:pPr>
      <w:tabs>
        <w:tab w:val="num" w:pos="720"/>
      </w:tabs>
      <w:ind w:left="720" w:hanging="720"/>
    </w:pPr>
  </w:style>
  <w:style w:type="paragraph" w:styleId="ListNumber">
    <w:name w:val="List Number"/>
    <w:basedOn w:val="Normal"/>
    <w:pPr>
      <w:tabs>
        <w:tab w:val="num" w:pos="720"/>
      </w:tabs>
      <w:ind w:left="720" w:hanging="720"/>
    </w:pPr>
  </w:style>
  <w:style w:type="paragraph" w:styleId="ListNumber2">
    <w:name w:val="List Number 2"/>
    <w:basedOn w:val="Normal"/>
    <w:pPr>
      <w:tabs>
        <w:tab w:val="num" w:pos="720"/>
      </w:tabs>
      <w:ind w:left="720" w:hanging="720"/>
    </w:pPr>
  </w:style>
  <w:style w:type="paragraph" w:styleId="ListNumber3">
    <w:name w:val="List Number 3"/>
    <w:basedOn w:val="Normal"/>
    <w:pPr>
      <w:tabs>
        <w:tab w:val="num" w:pos="720"/>
      </w:tabs>
      <w:ind w:left="720" w:hanging="720"/>
    </w:pPr>
  </w:style>
  <w:style w:type="paragraph" w:styleId="ListNumber4">
    <w:name w:val="List Number 4"/>
    <w:basedOn w:val="Normal"/>
    <w:pPr>
      <w:tabs>
        <w:tab w:val="num" w:pos="720"/>
      </w:tabs>
      <w:ind w:left="720" w:hanging="720"/>
    </w:pPr>
  </w:style>
  <w:style w:type="paragraph" w:styleId="ListNumber5">
    <w:name w:val="List Number 5"/>
    <w:basedOn w:val="Normal"/>
    <w:pPr>
      <w:tabs>
        <w:tab w:val="num" w:pos="720"/>
      </w:tabs>
      <w:ind w:left="720" w:hanging="72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caption11ptitalic">
    <w:name w:val="caption 11pt italic"/>
    <w:basedOn w:val="Normal11ptjustified"/>
    <w:rsid w:val="00105D52"/>
    <w:pPr>
      <w:spacing w:before="120" w:after="120"/>
    </w:pPr>
    <w:rPr>
      <w:i/>
    </w:rPr>
  </w:style>
  <w:style w:type="paragraph" w:customStyle="1" w:styleId="Address">
    <w:name w:val="Address"/>
    <w:basedOn w:val="Heading2"/>
    <w:pPr>
      <w:framePr w:wrap="notBeside"/>
    </w:pPr>
  </w:style>
  <w:style w:type="paragraph" w:customStyle="1" w:styleId="Normal11ptjustified">
    <w:name w:val="Normal 11pt justified"/>
    <w:basedOn w:val="Normal"/>
    <w:rsid w:val="00105D52"/>
    <w:pPr>
      <w:tabs>
        <w:tab w:val="left" w:pos="504"/>
      </w:tabs>
      <w:jc w:val="both"/>
    </w:pPr>
    <w:rPr>
      <w:sz w:val="22"/>
      <w:lang w:val="en-GB"/>
    </w:rPr>
  </w:style>
  <w:style w:type="paragraph" w:customStyle="1" w:styleId="Normal11ptcentered">
    <w:name w:val="Normal 11pt centered"/>
    <w:basedOn w:val="Normal11ptjustified"/>
    <w:rsid w:val="00105D52"/>
    <w:pPr>
      <w:jc w:val="center"/>
    </w:pPr>
  </w:style>
  <w:style w:type="paragraph" w:customStyle="1" w:styleId="SectionHeading">
    <w:name w:val="Section Heading"/>
    <w:basedOn w:val="Normal"/>
    <w:rsid w:val="00105D52"/>
    <w:pPr>
      <w:tabs>
        <w:tab w:val="left" w:pos="504"/>
      </w:tabs>
      <w:spacing w:before="240" w:after="240"/>
    </w:pPr>
    <w:rPr>
      <w:b/>
      <w:sz w:val="22"/>
      <w:lang w:val="en-GB"/>
    </w:rPr>
  </w:style>
  <w:style w:type="character" w:styleId="Hyperlink">
    <w:name w:val="Hyperlink"/>
    <w:semiHidden/>
    <w:rsid w:val="00105D52"/>
    <w:rPr>
      <w:color w:val="0000FF"/>
      <w:u w:val="single"/>
    </w:rPr>
  </w:style>
  <w:style w:type="character" w:styleId="FollowedHyperlink">
    <w:name w:val="FollowedHyperlink"/>
    <w:rsid w:val="00C5153A"/>
    <w:rPr>
      <w:color w:val="800080"/>
      <w:u w:val="single"/>
    </w:rPr>
  </w:style>
  <w:style w:type="character" w:styleId="CommentReference">
    <w:name w:val="annotation reference"/>
    <w:rsid w:val="007C0A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C0A89"/>
    <w:rPr>
      <w:b/>
      <w:bCs/>
    </w:rPr>
  </w:style>
  <w:style w:type="character" w:customStyle="1" w:styleId="CommentTextChar">
    <w:name w:val="Comment Text Char"/>
    <w:link w:val="CommentText"/>
    <w:semiHidden/>
    <w:rsid w:val="007C0A89"/>
    <w:rPr>
      <w:lang w:val="en-US" w:eastAsia="en-US"/>
    </w:rPr>
  </w:style>
  <w:style w:type="character" w:customStyle="1" w:styleId="CommentSubjectChar">
    <w:name w:val="Comment Subject Char"/>
    <w:link w:val="CommentSubject"/>
    <w:rsid w:val="007C0A8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C0A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C0A89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82227E"/>
    <w:rPr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D2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numbering" w:customStyle="1" w:styleId="CurrentList1">
    <w:name w:val="Current List1"/>
    <w:uiPriority w:val="99"/>
    <w:rsid w:val="00B2042D"/>
    <w:pPr>
      <w:numPr>
        <w:numId w:val="1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214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YoIvCOYXendIlB9782sVZWOzig==">AMUW2mX5eFOTkA02c66xeoDHvTRzwDx91kfTs4b/ucGUGCO985T1B/sIfdWFdhns+5V0jxnm/9TKKYnsRr0VNInCB0OqhKdDVKFdaacjFMl6B00JBqaT1w4DoB+zs+fx16ph0QkMDhj6Y+64x4EK2C3w8FYxL08l840FUc8jhgzlU/9eR2sSNwSGvzkRdoGGuR5tr+LINWXUR3cs+PgZaWeubcOE8qianA==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Marjolein van Kraanen</dc:creator>
  <cp:lastModifiedBy>Gabriele Uenzelmann-Neben</cp:lastModifiedBy>
  <cp:revision>2</cp:revision>
  <dcterms:created xsi:type="dcterms:W3CDTF">2023-08-02T06:27:00Z</dcterms:created>
  <dcterms:modified xsi:type="dcterms:W3CDTF">2023-08-02T06:27:00Z</dcterms:modified>
</cp:coreProperties>
</file>